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240" w:lineRule="auto"/>
        <w:ind w:firstLine="0" w:firstLineChars="0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240" w:lineRule="auto"/>
        <w:ind w:firstLine="0" w:firstLineChars="0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质量总监（部长）下午茶系列活动方案</w:t>
      </w:r>
    </w:p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一、活动目的</w:t>
      </w:r>
    </w:p>
    <w:p>
      <w:pPr>
        <w:pStyle w:val="5"/>
        <w:spacing w:after="0" w:line="240" w:lineRule="auto"/>
        <w:ind w:firstLine="62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为进一步加强合肥市质量和技术创新协会（以下简称协会）会员企业交流合作，推动优秀质量管理经验、方法分享和推广，营造追求卓越的良好氛围；在充分发挥协会平台作用的基础上，协会特推出质量总监（部长）下午茶系列活动。</w:t>
      </w:r>
    </w:p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二、活动组织</w:t>
      </w:r>
    </w:p>
    <w:p>
      <w:pPr>
        <w:pStyle w:val="5"/>
        <w:spacing w:after="0" w:line="240" w:lineRule="auto"/>
        <w:ind w:firstLine="3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（一）活动组织及参与单位</w:t>
      </w:r>
    </w:p>
    <w:p>
      <w:pPr>
        <w:pStyle w:val="5"/>
        <w:spacing w:after="0" w:line="24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主办单位：合肥市质量和技术创新协会；</w:t>
      </w:r>
    </w:p>
    <w:p>
      <w:pPr>
        <w:pStyle w:val="5"/>
        <w:spacing w:after="0" w:line="24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承办单位：经公开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申报</w:t>
      </w:r>
      <w:r>
        <w:rPr>
          <w:rFonts w:hint="eastAsia" w:ascii="仿宋" w:hAnsi="仿宋" w:eastAsia="仿宋" w:cs="仿宋"/>
          <w:sz w:val="31"/>
          <w:szCs w:val="31"/>
        </w:rPr>
        <w:t>征集确定；</w:t>
      </w:r>
    </w:p>
    <w:p>
      <w:pPr>
        <w:pStyle w:val="5"/>
        <w:spacing w:after="0" w:line="24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协办单位：经公开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申报</w:t>
      </w:r>
      <w:r>
        <w:rPr>
          <w:rFonts w:hint="eastAsia" w:ascii="仿宋" w:hAnsi="仿宋" w:eastAsia="仿宋" w:cs="仿宋"/>
          <w:sz w:val="31"/>
          <w:szCs w:val="31"/>
        </w:rPr>
        <w:t>征集确定；</w:t>
      </w:r>
    </w:p>
    <w:p>
      <w:pPr>
        <w:pStyle w:val="5"/>
        <w:spacing w:after="0" w:line="240" w:lineRule="auto"/>
        <w:ind w:left="619" w:leftChars="258" w:firstLine="0" w:firstLineChars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参与单位（人员）：合肥市质量和技术创新协会会员或行业专家。</w:t>
      </w:r>
    </w:p>
    <w:p>
      <w:pPr>
        <w:pStyle w:val="5"/>
        <w:spacing w:after="0" w:line="240" w:lineRule="auto"/>
        <w:ind w:firstLine="3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（二）活动时间</w:t>
      </w:r>
    </w:p>
    <w:p>
      <w:pPr>
        <w:pStyle w:val="5"/>
        <w:spacing w:after="0" w:line="240" w:lineRule="auto"/>
        <w:ind w:left="619" w:leftChars="258" w:firstLine="0" w:firstLineChars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持续开展，每月1-2期，每期活动提前2周策划，提前一周发布通知。</w:t>
      </w:r>
    </w:p>
    <w:p>
      <w:pPr>
        <w:pStyle w:val="5"/>
        <w:spacing w:after="0" w:line="240" w:lineRule="auto"/>
        <w:ind w:firstLine="3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（三）活动地点</w:t>
      </w:r>
    </w:p>
    <w:p>
      <w:pPr>
        <w:pStyle w:val="5"/>
        <w:spacing w:after="0" w:line="240" w:lineRule="auto"/>
        <w:ind w:left="619" w:leftChars="258" w:firstLine="0" w:firstLineChars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由主办单位与承办单位协商后确定。</w:t>
      </w:r>
    </w:p>
    <w:p>
      <w:pPr>
        <w:pStyle w:val="5"/>
        <w:spacing w:after="0" w:line="240" w:lineRule="auto"/>
        <w:ind w:firstLine="3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（四）活动形式</w:t>
      </w:r>
    </w:p>
    <w:p>
      <w:pPr>
        <w:pStyle w:val="5"/>
        <w:spacing w:after="0" w:line="240" w:lineRule="auto"/>
        <w:ind w:firstLine="622" w:firstLineChars="200"/>
        <w:rPr>
          <w:rFonts w:hint="eastAsia" w:ascii="仿宋" w:hAnsi="仿宋" w:eastAsia="仿宋" w:cs="仿宋"/>
          <w:b/>
          <w:sz w:val="31"/>
          <w:szCs w:val="31"/>
        </w:rPr>
      </w:pPr>
      <w:r>
        <w:rPr>
          <w:rFonts w:hint="eastAsia" w:ascii="仿宋" w:hAnsi="仿宋" w:eastAsia="仿宋" w:cs="仿宋"/>
          <w:b/>
          <w:sz w:val="31"/>
          <w:szCs w:val="31"/>
        </w:rPr>
        <w:t>1.圆桌交流式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①场地选择：根据活动主题协商确定承办单位，由承办单位提供一个合适的会议室或休息室作为活动场地，确保场地宽敞明亮、通风良好；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②宣传物料：承办单位准备活动海报、宣传册等宣传物料，以方便与会者了解活动详情，同时可适当提前准备围绕本次活动主题的企业介绍PPT；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③互动设计：设置问答环节，鼓励参与者提问和分享观点。同时，可以安排小组讨论环节，让参与者围绕某一议题进行深入探讨。</w:t>
      </w:r>
    </w:p>
    <w:p>
      <w:pPr>
        <w:pStyle w:val="5"/>
        <w:spacing w:after="0" w:line="240" w:lineRule="auto"/>
        <w:ind w:firstLine="622" w:firstLineChars="200"/>
        <w:rPr>
          <w:rFonts w:hint="eastAsia" w:ascii="仿宋" w:hAnsi="仿宋" w:eastAsia="仿宋" w:cs="仿宋"/>
          <w:b/>
          <w:sz w:val="31"/>
          <w:szCs w:val="31"/>
        </w:rPr>
      </w:pPr>
      <w:r>
        <w:rPr>
          <w:rFonts w:hint="eastAsia" w:ascii="仿宋" w:hAnsi="仿宋" w:eastAsia="仿宋" w:cs="仿宋"/>
          <w:b/>
          <w:sz w:val="31"/>
          <w:szCs w:val="31"/>
        </w:rPr>
        <w:t>2.参观诊断交流式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①场地选择：根据活动主题选择承办单位，由承办单位提供参观或需要诊断的场所，提前设计路线，并需同时准备一个环境优美、设施完备的会议室作分享交流用；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②宣传物料：</w:t>
      </w:r>
      <w:bookmarkStart w:id="0" w:name="_Hlk170202766"/>
      <w:r>
        <w:rPr>
          <w:rFonts w:hint="eastAsia" w:ascii="仿宋" w:hAnsi="仿宋" w:eastAsia="仿宋" w:cs="仿宋"/>
          <w:sz w:val="31"/>
          <w:szCs w:val="31"/>
        </w:rPr>
        <w:t>承办单位</w:t>
      </w:r>
      <w:bookmarkEnd w:id="0"/>
      <w:r>
        <w:rPr>
          <w:rFonts w:hint="eastAsia" w:ascii="仿宋" w:hAnsi="仿宋" w:eastAsia="仿宋" w:cs="仿宋"/>
          <w:sz w:val="31"/>
          <w:szCs w:val="31"/>
        </w:rPr>
        <w:t>准备活动海报、宣传册等宣传物料，以方便与会者了解活动详情，并须提前准备围绕本次活动主题的企业介绍PPT；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③互动设计：鼓励参与者提出管理问题和改善建议；同时，可以安排小组讨论环节，让参与者围绕某一现场管理问题进行深入探讨。</w:t>
      </w:r>
    </w:p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（五）</w:t>
      </w:r>
      <w:r>
        <w:rPr>
          <w:rFonts w:ascii="黑体" w:hAnsi="黑体" w:eastAsia="黑体" w:cs="黑体"/>
          <w:sz w:val="30"/>
          <w:szCs w:val="30"/>
        </w:rPr>
        <w:t>宣传推广</w:t>
      </w:r>
    </w:p>
    <w:p>
      <w:pPr>
        <w:pStyle w:val="5"/>
        <w:spacing w:after="0" w:line="240" w:lineRule="auto"/>
        <w:ind w:firstLine="622" w:firstLineChars="200"/>
        <w:rPr>
          <w:rFonts w:hint="eastAsia" w:ascii="仿宋" w:hAnsi="仿宋" w:eastAsia="仿宋" w:cs="仿宋"/>
          <w:b/>
          <w:sz w:val="31"/>
          <w:szCs w:val="31"/>
        </w:rPr>
      </w:pPr>
      <w:r>
        <w:rPr>
          <w:rFonts w:hint="eastAsia" w:ascii="仿宋" w:hAnsi="仿宋" w:eastAsia="仿宋" w:cs="仿宋"/>
          <w:b/>
          <w:sz w:val="31"/>
          <w:szCs w:val="31"/>
        </w:rPr>
        <w:t>1.活动前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①线上宣传：通过协会官网、视频号、微信公众号等渠道发布活动信息，吸引更多质量从业者关注与参与，积极引导更多质量人点赞转发，扩大活动影响力；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②线下推广：在协会内部、合作伙伴及行业活动中发放活动主题宣传册，在会员群、线下拜访沟通中增加活动曝光；邀请有关商会和协会参加，扩大活动影响力；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③专家邀请：邀请知名质量管理专家、行业代表等担任活动嘉宾，提升活动档次与吸引力。</w:t>
      </w:r>
    </w:p>
    <w:p>
      <w:pPr>
        <w:pStyle w:val="5"/>
        <w:spacing w:after="0" w:line="240" w:lineRule="auto"/>
        <w:ind w:firstLine="622" w:firstLineChars="200"/>
        <w:rPr>
          <w:rFonts w:ascii="仿宋" w:hAnsi="仿宋" w:eastAsia="仿宋" w:cs="仿宋"/>
          <w:b/>
          <w:sz w:val="31"/>
          <w:szCs w:val="31"/>
        </w:rPr>
      </w:pPr>
      <w:r>
        <w:rPr>
          <w:rFonts w:hint="eastAsia" w:ascii="仿宋" w:hAnsi="仿宋" w:eastAsia="仿宋" w:cs="仿宋"/>
          <w:b/>
          <w:sz w:val="31"/>
          <w:szCs w:val="31"/>
        </w:rPr>
        <w:t>2</w:t>
      </w:r>
      <w:r>
        <w:rPr>
          <w:rFonts w:ascii="仿宋" w:hAnsi="仿宋" w:eastAsia="仿宋" w:cs="仿宋"/>
          <w:b/>
          <w:sz w:val="31"/>
          <w:szCs w:val="31"/>
        </w:rPr>
        <w:t>.</w:t>
      </w:r>
      <w:r>
        <w:rPr>
          <w:rFonts w:hint="eastAsia" w:ascii="仿宋" w:hAnsi="仿宋" w:eastAsia="仿宋" w:cs="仿宋"/>
          <w:b/>
          <w:sz w:val="31"/>
          <w:szCs w:val="31"/>
        </w:rPr>
        <w:t>活动后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①每期活动在协会官网、公众号发布新闻稿进行宣传；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②定期将已举办的活动文字、影音资料进行归纳整理，形成文章、短视频等形式在协会官网、视频号、公众号进行发布和宣传；制作活动成果宣传手册，在线下拜访交流及协会其他活动中进行发放宣传。</w:t>
      </w:r>
    </w:p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</w:t>
      </w:r>
      <w:r>
        <w:rPr>
          <w:rFonts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总结和提升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活动结束后，协会将及时对活动进行总结和复盘：整理归档活动照片、视频等资料，作为今后活动的参考和借鉴；通过收集参与者的反馈和建议，对后续活动进行改进和优化，提高活动质量和效果。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</w:p>
    <w:p>
      <w:pPr>
        <w:pStyle w:val="5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5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5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5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spacing w:line="240" w:lineRule="auto"/>
        <w:ind w:firstLine="0" w:firstLineChars="0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质量总监（部长）下午茶承办、协办单位</w:t>
      </w:r>
    </w:p>
    <w:p>
      <w:pPr>
        <w:spacing w:line="240" w:lineRule="auto"/>
        <w:ind w:firstLine="0" w:firstLineChars="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征集条件及报名表</w:t>
      </w:r>
    </w:p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一、承办单位征集条件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bookmarkStart w:id="1" w:name="_Hlk170203935"/>
      <w:r>
        <w:rPr>
          <w:rFonts w:hint="eastAsia" w:ascii="仿宋" w:hAnsi="仿宋" w:eastAsia="仿宋" w:cs="仿宋"/>
          <w:sz w:val="31"/>
          <w:szCs w:val="31"/>
        </w:rPr>
        <w:t>（一）</w:t>
      </w:r>
      <w:bookmarkEnd w:id="1"/>
      <w:r>
        <w:rPr>
          <w:rFonts w:hint="eastAsia" w:ascii="仿宋" w:hAnsi="仿宋" w:eastAsia="仿宋" w:cs="仿宋"/>
          <w:sz w:val="31"/>
          <w:szCs w:val="31"/>
        </w:rPr>
        <w:t>协会会员单位，拥有良好的社会信誉和品牌形象；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（二）企业在行业内质量水平领先或亟需开展质量提升工作；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（三）能够提供足够的资源支持，包括但不限于活动场地、物资准备、技术支持等，确保活动顺利进行。</w:t>
      </w:r>
    </w:p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二、协办单位征集条件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（一）拥有良好的社会信誉和品牌形象；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（二）企业产品或服务有宣传需求；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（三）能够提供一定的资源支持。</w:t>
      </w:r>
    </w:p>
    <w:tbl>
      <w:tblPr>
        <w:tblStyle w:val="7"/>
        <w:tblpPr w:leftFromText="180" w:rightFromText="180" w:vertAnchor="text" w:horzAnchor="page" w:tblpX="1381" w:tblpY="834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169"/>
        <w:gridCol w:w="1240"/>
        <w:gridCol w:w="128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企业名称（盖章）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报名类型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sym w:font="Wingdings 2" w:char="00A3"/>
            </w:r>
            <w:r>
              <w:rPr>
                <w:rFonts w:hint="eastAsia" w:ascii="宋体" w:hAnsi="宋体" w:cs="Times New Roman"/>
                <w:kern w:val="0"/>
              </w:rPr>
              <w:t xml:space="preserve">承办单位           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 xml:space="preserve">   </w:t>
            </w:r>
            <w:r>
              <w:rPr>
                <w:rFonts w:ascii="宋体" w:hAnsi="宋体" w:cs="Times New Roman"/>
                <w:kern w:val="0"/>
              </w:rPr>
              <w:sym w:font="Wingdings 2" w:char="00A3"/>
            </w:r>
            <w:r>
              <w:rPr>
                <w:rFonts w:hint="eastAsia" w:ascii="宋体" w:hAnsi="宋体" w:cs="Times New Roman"/>
                <w:kern w:val="0"/>
              </w:rPr>
              <w:t xml:space="preserve">协办单位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</w:rPr>
              <w:t>报名主题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可自拟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联系人</w:t>
            </w:r>
          </w:p>
        </w:tc>
        <w:tc>
          <w:tcPr>
            <w:tcW w:w="21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部门</w:t>
            </w:r>
          </w:p>
        </w:tc>
        <w:tc>
          <w:tcPr>
            <w:tcW w:w="21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职务</w:t>
            </w:r>
          </w:p>
        </w:tc>
        <w:tc>
          <w:tcPr>
            <w:tcW w:w="21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电话</w:t>
            </w:r>
          </w:p>
        </w:tc>
        <w:tc>
          <w:tcPr>
            <w:tcW w:w="21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手机</w:t>
            </w:r>
          </w:p>
        </w:tc>
        <w:tc>
          <w:tcPr>
            <w:tcW w:w="21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邮箱</w:t>
            </w:r>
          </w:p>
        </w:tc>
        <w:tc>
          <w:tcPr>
            <w:tcW w:w="21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通讯地址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业务范围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（主要产品或服务）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35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单位</w:t>
            </w:r>
            <w:r>
              <w:rPr>
                <w:rFonts w:hint="eastAsia" w:ascii="宋体" w:hAnsi="宋体" w:cs="Times New Roman"/>
                <w:kern w:val="0"/>
              </w:rPr>
              <w:t>简介（500字以内）：</w:t>
            </w:r>
          </w:p>
        </w:tc>
      </w:tr>
    </w:tbl>
    <w:p>
      <w:pPr>
        <w:pStyle w:val="5"/>
        <w:spacing w:after="0" w:line="240" w:lineRule="auto"/>
        <w:ind w:firstLine="0" w:firstLine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三、质量总监（部长）下午茶系列活动报名表</w:t>
      </w:r>
    </w:p>
    <w:p>
      <w:pPr>
        <w:ind w:firstLine="0" w:firstLineChars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ind w:firstLine="0" w:firstLineChars="0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质量总监（部长）下午茶系列活动初拟主题</w:t>
      </w:r>
    </w:p>
    <w:p>
      <w:pPr>
        <w:pStyle w:val="5"/>
        <w:spacing w:after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1．质量数字化建设经验交流与分享；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2．企业质量管理“大家来找茬”—企业质量管理现场实景诊断；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3．“从优秀到卓越”—卓越绩效模式的实践经验交流与分享；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4．企业管理最小单元—班组质量管理提升实践经验交流与分享；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5．质量“吐槽会”—工作中遇到的质量管理难题交流与分享；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6、“打造星级现场”—企业现场管理经验交流与分享；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7．质量管理人才的选拔和培养经验交流分享；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8．质量管理新趋势与未来展望探讨；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9．质量风险管理经验交流与分享；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10．质量成本管理经验交流与分享；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11．从源头到终端的无缝链接—供应链质量管理经验交流与分享；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12．倾听客户之声：顾客满意度的测算和应用经验交流与分享；</w:t>
      </w:r>
    </w:p>
    <w:p>
      <w:pPr>
        <w:pStyle w:val="5"/>
        <w:spacing w:after="0" w:line="240" w:lineRule="auto"/>
        <w:ind w:left="0" w:leftChars="0" w:firstLine="6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1"/>
          <w:szCs w:val="31"/>
        </w:rPr>
        <w:t>13．质量文化建设经验与成效交流与分享。</w:t>
      </w:r>
    </w:p>
    <w:p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5DC616-F881-4A67-8868-BD39830B8F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3255D4-1BEB-4DDC-9F03-D591D9EF36F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1AC32EE-4E54-4E2F-A156-D777224935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357B92-E4F5-45A6-976E-E55B79F7B19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58FC37D-72BD-4286-B0D2-B8AC7ADA5D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DAzM2UwNGMzODkwYzUxOTEwMjk3OTcxMGIyMzEifQ=="/>
  </w:docVars>
  <w:rsids>
    <w:rsidRoot w:val="00000000"/>
    <w:rsid w:val="2EC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2024-06-25T06:22:47Z</dcterms:created>
  <dc:creator>007</dc:creator>
  <cp:lastModifiedBy>Yshanshan</cp:lastModifiedBy>
  <dcterms:modified xsi:type="dcterms:W3CDTF">2024-06-25T06:22:56Z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815F57D5357543DFBFF206AAE343902C_12</vt:lpwstr>
  </property>
</Properties>
</file>